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5B28E2" w14:textId="4DCB859F" w:rsidR="00542675" w:rsidRDefault="00542675" w:rsidP="00577860">
      <w:pPr>
        <w:pStyle w:val="a3"/>
        <w:spacing w:after="0"/>
        <w:rPr>
          <w:i/>
        </w:rPr>
      </w:pPr>
      <w:r w:rsidRPr="005B7CF6">
        <w:rPr>
          <w:rFonts w:ascii="Verdana" w:hAnsi="Verdana"/>
          <w:b w:val="0"/>
          <w:sz w:val="16"/>
          <w:szCs w:val="16"/>
        </w:rPr>
        <w:t xml:space="preserve">Индекс потребительских цен по Нижегородской области </w:t>
      </w:r>
      <w:r w:rsidRPr="005B7CF6">
        <w:rPr>
          <w:rFonts w:ascii="Verdana" w:hAnsi="Verdana"/>
          <w:b w:val="0"/>
          <w:sz w:val="16"/>
          <w:szCs w:val="16"/>
        </w:rPr>
        <w:br/>
      </w:r>
      <w:r w:rsidR="00D060F0">
        <w:rPr>
          <w:rFonts w:ascii="Verdana" w:hAnsi="Verdana"/>
          <w:b w:val="0"/>
          <w:sz w:val="16"/>
          <w:szCs w:val="16"/>
        </w:rPr>
        <w:t xml:space="preserve"> </w:t>
      </w:r>
      <w:r w:rsidRPr="005B7CF6">
        <w:rPr>
          <w:rFonts w:ascii="Verdana" w:hAnsi="Verdana"/>
          <w:b w:val="0"/>
          <w:sz w:val="16"/>
          <w:szCs w:val="16"/>
        </w:rPr>
        <w:t>на конец периода, в % к декабрю предыдущего года</w:t>
      </w:r>
      <w:r w:rsidR="00B8052E" w:rsidRPr="00D21152">
        <w:rPr>
          <w:rFonts w:ascii="Verdana" w:hAnsi="Verdana"/>
          <w:b w:val="0"/>
          <w:sz w:val="16"/>
          <w:szCs w:val="16"/>
        </w:rPr>
        <w:br/>
      </w:r>
      <w:r w:rsidR="003A5A38">
        <w:rPr>
          <w:i/>
          <w:noProof/>
          <w:sz w:val="20"/>
        </w:rPr>
        <w:drawing>
          <wp:inline distT="0" distB="0" distL="0" distR="0" wp14:anchorId="3C3C3EBE" wp14:editId="017C9A44">
            <wp:extent cx="6648450" cy="6762750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542675" w:rsidSect="00514C8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675"/>
    <w:rsid w:val="000125DF"/>
    <w:rsid w:val="000179ED"/>
    <w:rsid w:val="00040663"/>
    <w:rsid w:val="0004339F"/>
    <w:rsid w:val="000522B4"/>
    <w:rsid w:val="000536BC"/>
    <w:rsid w:val="0006096A"/>
    <w:rsid w:val="00062D85"/>
    <w:rsid w:val="0009258F"/>
    <w:rsid w:val="000D068C"/>
    <w:rsid w:val="000F0E50"/>
    <w:rsid w:val="000F6140"/>
    <w:rsid w:val="00107A05"/>
    <w:rsid w:val="00122367"/>
    <w:rsid w:val="00124D4C"/>
    <w:rsid w:val="00126C13"/>
    <w:rsid w:val="00127324"/>
    <w:rsid w:val="00135BAE"/>
    <w:rsid w:val="00142642"/>
    <w:rsid w:val="00151489"/>
    <w:rsid w:val="001A12B3"/>
    <w:rsid w:val="001B4D4B"/>
    <w:rsid w:val="001C7A9D"/>
    <w:rsid w:val="001D0DB7"/>
    <w:rsid w:val="001D1093"/>
    <w:rsid w:val="001F33B4"/>
    <w:rsid w:val="001F3782"/>
    <w:rsid w:val="001F7B55"/>
    <w:rsid w:val="00200CAD"/>
    <w:rsid w:val="00207281"/>
    <w:rsid w:val="002247F0"/>
    <w:rsid w:val="00240987"/>
    <w:rsid w:val="002550F6"/>
    <w:rsid w:val="00263105"/>
    <w:rsid w:val="00264AAE"/>
    <w:rsid w:val="00271620"/>
    <w:rsid w:val="002772C9"/>
    <w:rsid w:val="002B2017"/>
    <w:rsid w:val="002C5BD2"/>
    <w:rsid w:val="002F4BE1"/>
    <w:rsid w:val="00312287"/>
    <w:rsid w:val="00343E02"/>
    <w:rsid w:val="00346D8C"/>
    <w:rsid w:val="00370381"/>
    <w:rsid w:val="00376B2D"/>
    <w:rsid w:val="003A4EB0"/>
    <w:rsid w:val="003A5A38"/>
    <w:rsid w:val="003B2AAB"/>
    <w:rsid w:val="003B5C21"/>
    <w:rsid w:val="003C005B"/>
    <w:rsid w:val="003C0AD2"/>
    <w:rsid w:val="003C452B"/>
    <w:rsid w:val="003D15DD"/>
    <w:rsid w:val="003E3E69"/>
    <w:rsid w:val="003E4F5B"/>
    <w:rsid w:val="003E719C"/>
    <w:rsid w:val="003E7454"/>
    <w:rsid w:val="003F319B"/>
    <w:rsid w:val="0040186C"/>
    <w:rsid w:val="0041153E"/>
    <w:rsid w:val="00417487"/>
    <w:rsid w:val="0042054E"/>
    <w:rsid w:val="004258F6"/>
    <w:rsid w:val="0043004E"/>
    <w:rsid w:val="004316E0"/>
    <w:rsid w:val="0048573F"/>
    <w:rsid w:val="004C387B"/>
    <w:rsid w:val="004D1436"/>
    <w:rsid w:val="00514C84"/>
    <w:rsid w:val="00536DA4"/>
    <w:rsid w:val="00542675"/>
    <w:rsid w:val="00547F49"/>
    <w:rsid w:val="00552ABA"/>
    <w:rsid w:val="005701C2"/>
    <w:rsid w:val="00577860"/>
    <w:rsid w:val="00581E55"/>
    <w:rsid w:val="0059689F"/>
    <w:rsid w:val="005A30DB"/>
    <w:rsid w:val="005B6EAC"/>
    <w:rsid w:val="005B7CF6"/>
    <w:rsid w:val="005C0946"/>
    <w:rsid w:val="005C09D8"/>
    <w:rsid w:val="005C2B4A"/>
    <w:rsid w:val="005C58C3"/>
    <w:rsid w:val="005E15B3"/>
    <w:rsid w:val="005E559F"/>
    <w:rsid w:val="005F179C"/>
    <w:rsid w:val="00622117"/>
    <w:rsid w:val="00623E27"/>
    <w:rsid w:val="0063601A"/>
    <w:rsid w:val="00644892"/>
    <w:rsid w:val="006522CC"/>
    <w:rsid w:val="00653CB7"/>
    <w:rsid w:val="00675B0B"/>
    <w:rsid w:val="006A5CC6"/>
    <w:rsid w:val="006E4BD2"/>
    <w:rsid w:val="006F789B"/>
    <w:rsid w:val="00702711"/>
    <w:rsid w:val="007152F4"/>
    <w:rsid w:val="00716CE9"/>
    <w:rsid w:val="007277B5"/>
    <w:rsid w:val="00736959"/>
    <w:rsid w:val="00737EE2"/>
    <w:rsid w:val="00746D81"/>
    <w:rsid w:val="00752469"/>
    <w:rsid w:val="007563A1"/>
    <w:rsid w:val="0076578F"/>
    <w:rsid w:val="007671A5"/>
    <w:rsid w:val="0077726F"/>
    <w:rsid w:val="00782A5B"/>
    <w:rsid w:val="00792381"/>
    <w:rsid w:val="007A75E3"/>
    <w:rsid w:val="007C6AF5"/>
    <w:rsid w:val="007F0AE0"/>
    <w:rsid w:val="00801E87"/>
    <w:rsid w:val="0080740E"/>
    <w:rsid w:val="00807B3A"/>
    <w:rsid w:val="00817516"/>
    <w:rsid w:val="008177EF"/>
    <w:rsid w:val="008319C8"/>
    <w:rsid w:val="008402FE"/>
    <w:rsid w:val="00840C8B"/>
    <w:rsid w:val="00862056"/>
    <w:rsid w:val="0086333F"/>
    <w:rsid w:val="008654D5"/>
    <w:rsid w:val="008834D0"/>
    <w:rsid w:val="00896D69"/>
    <w:rsid w:val="008A5E60"/>
    <w:rsid w:val="008B698F"/>
    <w:rsid w:val="008B76C7"/>
    <w:rsid w:val="008C6C7B"/>
    <w:rsid w:val="008C7F61"/>
    <w:rsid w:val="008D6D4B"/>
    <w:rsid w:val="008E39EA"/>
    <w:rsid w:val="008E7746"/>
    <w:rsid w:val="008E7DAA"/>
    <w:rsid w:val="00914FFE"/>
    <w:rsid w:val="00917A6A"/>
    <w:rsid w:val="00926E8F"/>
    <w:rsid w:val="00927B8F"/>
    <w:rsid w:val="00931049"/>
    <w:rsid w:val="00942A57"/>
    <w:rsid w:val="00985084"/>
    <w:rsid w:val="00987C3E"/>
    <w:rsid w:val="00994703"/>
    <w:rsid w:val="009A3B89"/>
    <w:rsid w:val="009B3759"/>
    <w:rsid w:val="009D69FB"/>
    <w:rsid w:val="009D7BAA"/>
    <w:rsid w:val="009E225D"/>
    <w:rsid w:val="00A06C30"/>
    <w:rsid w:val="00A07598"/>
    <w:rsid w:val="00A1476B"/>
    <w:rsid w:val="00A16F27"/>
    <w:rsid w:val="00A35A19"/>
    <w:rsid w:val="00A7760C"/>
    <w:rsid w:val="00A81B47"/>
    <w:rsid w:val="00A87BE8"/>
    <w:rsid w:val="00A9025F"/>
    <w:rsid w:val="00AB169B"/>
    <w:rsid w:val="00AB6619"/>
    <w:rsid w:val="00AB7C08"/>
    <w:rsid w:val="00AC0B3C"/>
    <w:rsid w:val="00AC11C3"/>
    <w:rsid w:val="00AC44F9"/>
    <w:rsid w:val="00AD7DE4"/>
    <w:rsid w:val="00B01448"/>
    <w:rsid w:val="00B04C97"/>
    <w:rsid w:val="00B06B69"/>
    <w:rsid w:val="00B22B59"/>
    <w:rsid w:val="00B31204"/>
    <w:rsid w:val="00B31861"/>
    <w:rsid w:val="00B416F4"/>
    <w:rsid w:val="00B52DAD"/>
    <w:rsid w:val="00B62511"/>
    <w:rsid w:val="00B65C62"/>
    <w:rsid w:val="00B672EA"/>
    <w:rsid w:val="00B8052E"/>
    <w:rsid w:val="00BA2C91"/>
    <w:rsid w:val="00BB19D2"/>
    <w:rsid w:val="00BB4211"/>
    <w:rsid w:val="00BC0211"/>
    <w:rsid w:val="00BC70EA"/>
    <w:rsid w:val="00BD4919"/>
    <w:rsid w:val="00BE1BF9"/>
    <w:rsid w:val="00BE2AF8"/>
    <w:rsid w:val="00BE4F7A"/>
    <w:rsid w:val="00BE672D"/>
    <w:rsid w:val="00BE7394"/>
    <w:rsid w:val="00C1092B"/>
    <w:rsid w:val="00C2617F"/>
    <w:rsid w:val="00C262E3"/>
    <w:rsid w:val="00C469AF"/>
    <w:rsid w:val="00C47925"/>
    <w:rsid w:val="00C74E3B"/>
    <w:rsid w:val="00CA57C5"/>
    <w:rsid w:val="00CB567F"/>
    <w:rsid w:val="00CB5985"/>
    <w:rsid w:val="00CF2753"/>
    <w:rsid w:val="00CF3B32"/>
    <w:rsid w:val="00CF52F6"/>
    <w:rsid w:val="00CF66EB"/>
    <w:rsid w:val="00CF6E71"/>
    <w:rsid w:val="00D060F0"/>
    <w:rsid w:val="00D17258"/>
    <w:rsid w:val="00D21152"/>
    <w:rsid w:val="00D216AE"/>
    <w:rsid w:val="00D26426"/>
    <w:rsid w:val="00D31076"/>
    <w:rsid w:val="00D32ED3"/>
    <w:rsid w:val="00D3527C"/>
    <w:rsid w:val="00D37EEE"/>
    <w:rsid w:val="00D41427"/>
    <w:rsid w:val="00D442FE"/>
    <w:rsid w:val="00D5587B"/>
    <w:rsid w:val="00D84362"/>
    <w:rsid w:val="00D9645C"/>
    <w:rsid w:val="00DB2B83"/>
    <w:rsid w:val="00DC22FD"/>
    <w:rsid w:val="00DD18A4"/>
    <w:rsid w:val="00DE15E5"/>
    <w:rsid w:val="00DF1FEB"/>
    <w:rsid w:val="00E02370"/>
    <w:rsid w:val="00E13A1C"/>
    <w:rsid w:val="00E42887"/>
    <w:rsid w:val="00E64D1B"/>
    <w:rsid w:val="00E71609"/>
    <w:rsid w:val="00E831E3"/>
    <w:rsid w:val="00EC3B0F"/>
    <w:rsid w:val="00F22C8E"/>
    <w:rsid w:val="00F22E88"/>
    <w:rsid w:val="00F35F96"/>
    <w:rsid w:val="00F37F6A"/>
    <w:rsid w:val="00F41882"/>
    <w:rsid w:val="00F56803"/>
    <w:rsid w:val="00F629AF"/>
    <w:rsid w:val="00F746FE"/>
    <w:rsid w:val="00F75F48"/>
    <w:rsid w:val="00F92496"/>
    <w:rsid w:val="00FB2EDC"/>
    <w:rsid w:val="00FC1849"/>
    <w:rsid w:val="00FD2DDE"/>
    <w:rsid w:val="00FE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EC85E81"/>
  <w15:docId w15:val="{C072C188-586A-471E-ACDE-8AA0013D1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3E27"/>
    <w:rPr>
      <w:sz w:val="24"/>
      <w:szCs w:val="24"/>
    </w:rPr>
  </w:style>
  <w:style w:type="paragraph" w:styleId="3">
    <w:name w:val="heading 3"/>
    <w:basedOn w:val="a"/>
    <w:next w:val="a"/>
    <w:qFormat/>
    <w:rsid w:val="005426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3"/>
    <w:next w:val="a"/>
    <w:qFormat/>
    <w:rsid w:val="00542675"/>
    <w:pPr>
      <w:spacing w:before="120" w:after="120"/>
      <w:outlineLvl w:val="3"/>
    </w:pPr>
    <w:rPr>
      <w:rFonts w:cs="Times New Roman"/>
      <w:b w:val="0"/>
      <w:bCs w:val="0"/>
      <w:i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граф"/>
    <w:basedOn w:val="3"/>
    <w:rsid w:val="00542675"/>
    <w:pPr>
      <w:spacing w:before="120" w:after="240"/>
      <w:jc w:val="center"/>
      <w:outlineLvl w:val="9"/>
    </w:pPr>
    <w:rPr>
      <w:rFonts w:cs="Times New Roman"/>
      <w:bCs w:val="0"/>
      <w:sz w:val="22"/>
      <w:szCs w:val="20"/>
    </w:rPr>
  </w:style>
  <w:style w:type="paragraph" w:styleId="a4">
    <w:name w:val="Balloon Text"/>
    <w:basedOn w:val="a"/>
    <w:link w:val="a5"/>
    <w:rsid w:val="00D2115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211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2740434332989541E-2"/>
          <c:y val="1.5254237288135684E-2"/>
          <c:w val="0.92761116856256454"/>
          <c:h val="0.89491525423729146"/>
        </c:manualLayout>
      </c:layout>
      <c:lineChart>
        <c:grouping val="standard"/>
        <c:varyColors val="0"/>
        <c:ser>
          <c:idx val="4"/>
          <c:order val="0"/>
          <c:tx>
            <c:strRef>
              <c:f>Sheet1!$B$1</c:f>
              <c:strCache>
                <c:ptCount val="1"/>
                <c:pt idx="0">
                  <c:v>2021 год</c:v>
                </c:pt>
              </c:strCache>
            </c:strRef>
          </c:tx>
          <c:spPr>
            <a:ln w="31750">
              <a:solidFill>
                <a:srgbClr val="7030A0"/>
              </a:solidFill>
              <a:prstDash val="solid"/>
            </a:ln>
          </c:spPr>
          <c:marker>
            <c:symbol val="triangle"/>
            <c:size val="2"/>
            <c:spPr>
              <a:solidFill>
                <a:srgbClr val="7030A0"/>
              </a:solidFill>
              <a:ln>
                <a:solidFill>
                  <a:srgbClr val="7030A0"/>
                </a:solidFill>
                <a:prstDash val="solid"/>
              </a:ln>
            </c:spPr>
          </c:marker>
          <c:cat>
            <c:strRef>
              <c:f>Sheet1!$A$2:$A$14</c:f>
              <c:strCache>
                <c:ptCount val="13"/>
                <c:pt idx="0">
                  <c:v>XII    </c:v>
                </c:pt>
                <c:pt idx="1">
                  <c:v>I       </c:v>
                </c:pt>
                <c:pt idx="2">
                  <c:v>II</c:v>
                </c:pt>
                <c:pt idx="3">
                  <c:v>III</c:v>
                </c:pt>
                <c:pt idx="4">
                  <c:v>IV</c:v>
                </c:pt>
                <c:pt idx="5">
                  <c:v>V</c:v>
                </c:pt>
                <c:pt idx="6">
                  <c:v>VI</c:v>
                </c:pt>
                <c:pt idx="7">
                  <c:v>VII</c:v>
                </c:pt>
                <c:pt idx="8">
                  <c:v>VIII</c:v>
                </c:pt>
                <c:pt idx="9">
                  <c:v>IX</c:v>
                </c:pt>
                <c:pt idx="10">
                  <c:v>X</c:v>
                </c:pt>
                <c:pt idx="11">
                  <c:v>XI</c:v>
                </c:pt>
                <c:pt idx="12">
                  <c:v>XII</c:v>
                </c:pt>
              </c:strCache>
            </c:strRef>
          </c:cat>
          <c:val>
            <c:numRef>
              <c:f>Sheet1!$B$2:$B$14</c:f>
              <c:numCache>
                <c:formatCode>General</c:formatCode>
                <c:ptCount val="13"/>
                <c:pt idx="0">
                  <c:v>100</c:v>
                </c:pt>
                <c:pt idx="1">
                  <c:v>100.8</c:v>
                </c:pt>
                <c:pt idx="2">
                  <c:v>101.5</c:v>
                </c:pt>
                <c:pt idx="3">
                  <c:v>102.3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7C81-4ECD-A976-AD70F86BBFAC}"/>
            </c:ext>
          </c:extLst>
        </c:ser>
        <c:ser>
          <c:idx val="5"/>
          <c:order val="1"/>
          <c:tx>
            <c:strRef>
              <c:f>Sheet1!$C$1</c:f>
              <c:strCache>
                <c:ptCount val="1"/>
                <c:pt idx="0">
                  <c:v>2020 год</c:v>
                </c:pt>
              </c:strCache>
            </c:strRef>
          </c:tx>
          <c:spPr>
            <a:ln w="31750">
              <a:solidFill>
                <a:srgbClr val="FF00FF"/>
              </a:solidFill>
              <a:prstDash val="solid"/>
            </a:ln>
          </c:spPr>
          <c:marker>
            <c:symbol val="x"/>
            <c:size val="2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strRef>
              <c:f>Sheet1!$A$2:$A$14</c:f>
              <c:strCache>
                <c:ptCount val="13"/>
                <c:pt idx="0">
                  <c:v>XII    </c:v>
                </c:pt>
                <c:pt idx="1">
                  <c:v>I       </c:v>
                </c:pt>
                <c:pt idx="2">
                  <c:v>II</c:v>
                </c:pt>
                <c:pt idx="3">
                  <c:v>III</c:v>
                </c:pt>
                <c:pt idx="4">
                  <c:v>IV</c:v>
                </c:pt>
                <c:pt idx="5">
                  <c:v>V</c:v>
                </c:pt>
                <c:pt idx="6">
                  <c:v>VI</c:v>
                </c:pt>
                <c:pt idx="7">
                  <c:v>VII</c:v>
                </c:pt>
                <c:pt idx="8">
                  <c:v>VIII</c:v>
                </c:pt>
                <c:pt idx="9">
                  <c:v>IX</c:v>
                </c:pt>
                <c:pt idx="10">
                  <c:v>X</c:v>
                </c:pt>
                <c:pt idx="11">
                  <c:v>XI</c:v>
                </c:pt>
                <c:pt idx="12">
                  <c:v>XII</c:v>
                </c:pt>
              </c:strCache>
            </c:strRef>
          </c:cat>
          <c:val>
            <c:numRef>
              <c:f>Sheet1!$C$2:$C$14</c:f>
              <c:numCache>
                <c:formatCode>General</c:formatCode>
                <c:ptCount val="13"/>
                <c:pt idx="0">
                  <c:v>100</c:v>
                </c:pt>
                <c:pt idx="1">
                  <c:v>100.66</c:v>
                </c:pt>
                <c:pt idx="2">
                  <c:v>100.66</c:v>
                </c:pt>
                <c:pt idx="3">
                  <c:v>101.66</c:v>
                </c:pt>
                <c:pt idx="4">
                  <c:v>102.82</c:v>
                </c:pt>
                <c:pt idx="5">
                  <c:v>103.09</c:v>
                </c:pt>
                <c:pt idx="6">
                  <c:v>103.45</c:v>
                </c:pt>
                <c:pt idx="7">
                  <c:v>103.8</c:v>
                </c:pt>
                <c:pt idx="8">
                  <c:v>103.5</c:v>
                </c:pt>
                <c:pt idx="9">
                  <c:v>103.63</c:v>
                </c:pt>
                <c:pt idx="10">
                  <c:v>104.29</c:v>
                </c:pt>
                <c:pt idx="11">
                  <c:v>105.17</c:v>
                </c:pt>
                <c:pt idx="12">
                  <c:v>105.77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7C81-4ECD-A976-AD70F86BBFA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7183360"/>
        <c:axId val="67185280"/>
      </c:lineChart>
      <c:catAx>
        <c:axId val="67183360"/>
        <c:scaling>
          <c:orientation val="minMax"/>
        </c:scaling>
        <c:delete val="0"/>
        <c:axPos val="b"/>
        <c:majorGridlines>
          <c:spPr>
            <a:ln w="2022">
              <a:solidFill>
                <a:srgbClr val="000000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202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10" b="0" i="0" u="none" strike="noStrike" baseline="0">
                <a:solidFill>
                  <a:srgbClr val="000000"/>
                </a:solidFill>
                <a:latin typeface="Verdana"/>
                <a:ea typeface="Verdana"/>
                <a:cs typeface="Verdana"/>
              </a:defRPr>
            </a:pPr>
            <a:endParaRPr lang="ru-RU"/>
          </a:p>
        </c:txPr>
        <c:crossAx val="6718528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67185280"/>
        <c:scaling>
          <c:orientation val="minMax"/>
          <c:max val="106"/>
          <c:min val="100"/>
        </c:scaling>
        <c:delete val="0"/>
        <c:axPos val="l"/>
        <c:majorGridlines>
          <c:spPr>
            <a:ln w="2022">
              <a:solidFill>
                <a:srgbClr val="000000"/>
              </a:solidFill>
              <a:prstDash val="sysDash"/>
            </a:ln>
          </c:spPr>
        </c:majorGridlines>
        <c:title>
          <c:tx>
            <c:rich>
              <a:bodyPr/>
              <a:lstStyle/>
              <a:p>
                <a:pPr>
                  <a:defRPr sz="505" b="0" i="0" u="none" strike="noStrike" baseline="0">
                    <a:solidFill>
                      <a:srgbClr val="000000"/>
                    </a:solidFill>
                    <a:latin typeface="Verdana"/>
                    <a:ea typeface="Verdana"/>
                    <a:cs typeface="Verdana"/>
                  </a:defRPr>
                </a:pPr>
                <a:r>
                  <a:rPr lang="ru-RU"/>
                  <a:t>проценты</a:t>
                </a:r>
              </a:p>
            </c:rich>
          </c:tx>
          <c:layout>
            <c:manualLayout>
              <c:xMode val="edge"/>
              <c:yMode val="edge"/>
              <c:x val="0"/>
              <c:y val="0.41525429321335089"/>
            </c:manualLayout>
          </c:layout>
          <c:overlay val="0"/>
          <c:spPr>
            <a:noFill/>
            <a:ln w="16174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202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10" b="0" i="0" u="none" strike="noStrike" baseline="0">
                <a:solidFill>
                  <a:srgbClr val="000000"/>
                </a:solidFill>
                <a:latin typeface="Verdana"/>
                <a:ea typeface="Verdana"/>
                <a:cs typeface="Verdana"/>
              </a:defRPr>
            </a:pPr>
            <a:endParaRPr lang="ru-RU"/>
          </a:p>
        </c:txPr>
        <c:crossAx val="67183360"/>
        <c:crosses val="autoZero"/>
        <c:crossBetween val="midCat"/>
        <c:majorUnit val="0.5"/>
        <c:minorUnit val="0.5"/>
      </c:valAx>
      <c:spPr>
        <a:noFill/>
        <a:ln w="25396">
          <a:noFill/>
        </a:ln>
      </c:spPr>
    </c:plotArea>
    <c:legend>
      <c:legendPos val="b"/>
      <c:layout>
        <c:manualLayout>
          <c:xMode val="edge"/>
          <c:yMode val="edge"/>
          <c:x val="0.28024812305438568"/>
          <c:y val="0.96271181102362779"/>
          <c:w val="0.43123054385643661"/>
          <c:h val="3.7288188976378138E-2"/>
        </c:manualLayout>
      </c:layout>
      <c:overlay val="0"/>
      <c:spPr>
        <a:solidFill>
          <a:srgbClr val="FFFFFF"/>
        </a:solidFill>
        <a:ln w="16174">
          <a:noFill/>
        </a:ln>
      </c:spPr>
      <c:txPr>
        <a:bodyPr/>
        <a:lstStyle/>
        <a:p>
          <a:pPr>
            <a:defRPr sz="468" b="0" i="0" u="none" strike="noStrike" baseline="0">
              <a:solidFill>
                <a:srgbClr val="000000"/>
              </a:solidFill>
              <a:latin typeface="Verdana"/>
              <a:ea typeface="Verdana"/>
              <a:cs typeface="Verdana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510" b="0" i="0" u="none" strike="noStrike" baseline="0">
          <a:solidFill>
            <a:srgbClr val="000000"/>
          </a:solidFill>
          <a:latin typeface="Verdana"/>
          <a:ea typeface="Verdana"/>
          <a:cs typeface="Verdana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Индекс потребительских цен</vt:lpstr>
    </vt:vector>
  </TitlesOfParts>
  <Company>Kraftway</Company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Индекс потребительских цен</dc:title>
  <dc:creator>GEG</dc:creator>
  <cp:lastModifiedBy>Камбулина Елена Георгиевна</cp:lastModifiedBy>
  <cp:revision>2</cp:revision>
  <dcterms:created xsi:type="dcterms:W3CDTF">2021-04-05T12:30:00Z</dcterms:created>
  <dcterms:modified xsi:type="dcterms:W3CDTF">2021-04-05T12:30:00Z</dcterms:modified>
</cp:coreProperties>
</file>