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Вопросы респондентов</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отражаются затраты на приобретение в собственность земельных участков по форме П-2?</w:t>
      </w:r>
    </w:p>
    <w:p>
      <w:pPr>
        <w:rPr/>
      </w:pPr>
      <w:r>
        <w:rPr/>
        <w:t xml:space="preserve">Ответ: В объем инвестиций в основной капитал не включаются затраты на приобретение юридическими лицами в собственность земельных участков, а также объектов природопользования; контрактов, договоров аренды, лицензий (включая права пользования природными объектами), деловой репутации («гудвилла») и деловых связей (маркетинговых активов), которые в соответствии с СНС относятся к непроизведенным нефинансовым активам.</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отражаются затраты на приобретение квартир в многоквартирном доме по форме П-2?</w:t>
      </w:r>
    </w:p>
    <w:p>
      <w:pPr>
        <w:rPr/>
      </w:pPr>
      <w:r>
        <w:rPr/>
        <w:t xml:space="preserve">Ответ: Затраты на приобретение квартир в объектах жилого фонда зданий, а также сооружения, машины, оборудование, транспортные средства, производственный и хозяйственный инвентарь,  объекты, не завершенные строительством, числившиеся ранее в основных фондах (средствах) у других юридических и физических лиц (кроме приобретения по импорту),  в инвестициях в основной капитал не учитываются и отражаются отдельно, по строке 23.</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Какие затраты на приобретение активов не включаются в инвестиции в основной капитал при заполнении форм П-2 и П-2 (инвест)?</w:t>
      </w:r>
    </w:p>
    <w:p>
      <w:pPr>
        <w:rPr/>
      </w:pPr>
      <w:r>
        <w:rPr/>
        <w:t xml:space="preserve">Ответ: Не включаются в инвестиции в основной капитал затраты на приобретение нефинансовых активов:  - стоимостью не более 40 тысяч рублей за единицу, если они не отражаются в бухгалтерском учете в составе основных средств;  -       по государственным и муниципальным казенным, бюджетным и автономным учреждениям  стоимостью не более 3000 рублей включительно за единицу, отражаемые в бухгалтерском учете на забалансовом счете 21 «Основные средства стоимостью до 3000 рублей включительно в эксплуатации»;  -       для кредитных организаций лимит стоимости предметов для принятия к бухгалтерскому учету в составе основных средств определяется руководителем кредитной организации.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Нужно ли сдать в статистику формы федерального статистического наблюдения 2-тп (отходы), 2-тп (водхоз)?</w:t>
      </w:r>
    </w:p>
    <w:p>
      <w:pPr>
        <w:rPr/>
      </w:pPr>
      <w:r>
        <w:rPr/>
        <w:t xml:space="preserve">Ответ: Нет, это ведомственные формы отчетности. Форма 2-тп (отходы) сдается в территориальные органыРосприроднадзора, 2-тп (водхоз) в территориальные органы Росводресурсов по месту нахождения организации.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Кто должен сдавать форму 4-ОС?</w:t>
      </w:r>
    </w:p>
    <w:p>
      <w:pPr>
        <w:rPr/>
      </w:pPr>
      <w:r>
        <w:rPr/>
        <w:t xml:space="preserve">Ответ: Федеральному статистическому наблюдению по ф. 4-ОС «Сведения о текущих затратах на охрану окружающей среды» подлежат юридические и физические лица (индивидуальные предприниматели), осуществляющие природоохранные мероприятия. Сведения предоставляются при наличии текущих затрат на охрану окружающей среды более 100 тыс. руб. год. Согласно указаниям по заполнению формы отчет предоставляется только при наличии наблюдаемого события. В случае отсутствия события отчет в территориальные органы Росстата не предоставляется.   При этом обращаем Ваше внимание, что в указаниях по заполнению формы №4-ОС приведен перечень основных фондов природоохранного значения. При наличии данных видов фондов все текущие затраты по их  содержанию и эксплуатации (включая содержание персонала, обслуживающего данные фонды) включаются в общий объем затрат на охрану окружающей среды.</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Отчет по форме 1-здрав не принимается, потому что не определен код хранения отчета и требуется вмешательство оператора, что это значит?</w:t>
      </w:r>
    </w:p>
    <w:p>
      <w:pPr>
        <w:rPr/>
      </w:pPr>
      <w:r>
        <w:rPr/>
        <w:t xml:space="preserve">Ответ: В XML-шаблоне формы 1-здрав во второй строке требуется указать «код структурного учреждения». Для самостоятельных юридических лиц это -1, для филиалов – 2.  Этого реквизита нет в бланке формы 1-здрав, но специалисты Нижегородстата всегда обращают внимание респондентов на заполнение этого реквизита в информационных письмах, направляемых в организации через спецоператоров связи.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Почему в перечне форм, полученном по ссылке http://statreg.gks.ru, нет бухгалтерских балансов?</w:t>
      </w:r>
    </w:p>
    <w:p>
      <w:pPr>
        <w:rPr/>
      </w:pPr>
      <w:r>
        <w:rPr/>
        <w:t xml:space="preserve">Ответ: В информационно-поисковой системе размещены перечни форм федерального статистического наблюдения. Бухгалтерские балансы отсутствуют в данном перечне, т.к. не относятся к статистической отчетности.  Но в соответствии с ч.1 ст.18 Федерального закона от 06.12.2011г. № 402-ФЗ «О бухгалтерском учете» обязанные составлять бухгалтерскую (финансовую) отчетность экономические субъекты, за исключением организаций государственного сектора и Центрального банка Российской Федерации, представляют по одному обязательному экземпляру годовой бухгалтерской (финансовой) отчетности в орган государственной статистики по месту государственной регистрации.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Какой ОКВЭД проставлять в годовой бухгалтерской (финансовой) отчетности за 2016 год?</w:t>
      </w:r>
    </w:p>
    <w:p>
      <w:pPr>
        <w:rPr/>
      </w:pPr>
      <w:r>
        <w:rPr/>
        <w:t xml:space="preserve">Ответ: Для предоставления годовой бухгалтерской (финансовой) отчетности за 2016 год необходимо проставлять ОКВЭД2 (новый).</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Где посмотреть новый код вида деятельности по общероссийскому классификатору ОКВЭД2 для юридического лица или индивидуального предпринимателя?</w:t>
      </w:r>
    </w:p>
    <w:p>
      <w:pPr>
        <w:rPr/>
      </w:pPr>
      <w:r>
        <w:rPr/>
        <w:t xml:space="preserve">Ответ: Коды ОКВЭД2 по конкретному юридическому лицу можно увидеть в выписке из Единого государственного реестра юридических лиц (ЕГРЮЛ), по  индивидуальному предпринимателю - в выписке из Единого государственного реестра индивидуальных предпринимателей (ЕГРИП).</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Необходимо ли всем респондентам, заполняющим раздел 1 ф. № 4-ТЭР за 2016 год, заполнять и раздел 2 формы?</w:t>
      </w:r>
    </w:p>
    <w:p>
      <w:pPr>
        <w:rPr/>
      </w:pPr>
      <w:r>
        <w:rPr/>
        <w:t xml:space="preserve">Ответ: Нет, всем заполнять раздел 2 «Фактический расход топливно-энергетических ресурсов»  формы № 4-ТЭР «Сведения об  использовании топливно - энергетических ресурсов» за 2016 год не нужно.  При заполнении раздела 2 следует руководствоваться Перечнем видов продукции, работ (услуг), на которые расходуется тепловая и электрическая энергия, котельно-печное топливо и нефтепродукты в двигателях внутреннего сгорания, представленным в приложении к форме № 4-ТЭР, утвержденной Приказом Росстата от 11.08.2016г. № 414.</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определить из каких кодов ОКПД2 состоят иноаспектные коды?</w:t>
      </w:r>
    </w:p>
    <w:p>
      <w:pPr>
        <w:rPr/>
      </w:pPr>
      <w:r>
        <w:rPr/>
        <w:t xml:space="preserve">Ответ: Номенклатура услуг по ОКПД2, учитываемых в составе показателя «Объем платных услуг населению» для заполнения ф. №  П-услуги, размещен на официальном сайте Росстата в информационно – телекоммуникационной сети «Интернет»: gks.ru /Официальная статистика/ Предпринимательство/ Розничная торговля, услуги населению, туризм/ Платные услуги/ Номенклатура услуг по ОКПД2.</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Какие произведенные активы не включаются в состав основных фондов в форме 11 (краткая)?</w:t>
      </w:r>
    </w:p>
    <w:p>
      <w:pPr>
        <w:rPr/>
      </w:pPr>
      <w:r>
        <w:rPr/>
        <w:t xml:space="preserve">Ответ: Не включаются в состав основных фондов и не учитываются в табличной части формы № 11 (краткая) активы: имеющие стоимость до 3000 рублей включительно за единицу, отражаемые в бухгалтерском учете на забалансовом счете 21 «Основные средства стоимостью до 3000 рублей включительно в эксплуатации»;  относящиеся к объектам, на которые амортизация начисляется в размере 100% балансовой стоимости объекта при выдаче объекта в эксплуатацию (по введенным в эксплуатацию с 01 января 2011 года – не более 40000 рублей за единицу), независимо от финансовой политики некоммерческой организации, от порядка их отражения в бухгалтерском учете организации.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рассчитать среднегодовую стоимость основных фондов при заполнении форм 11 и 11 (краткая)?</w:t>
      </w:r>
    </w:p>
    <w:p>
      <w:pPr>
        <w:rPr/>
      </w:pPr>
      <w:r>
        <w:rPr/>
        <w:t xml:space="preserve">Ответ: Среднегодовая полная учетная стоимость основных фондов  определяется  как частное от деления на 12 суммы, полученной от сложения половины полной учетной стоимости всех основных фондов организации на начало и конец отчетного года (с учетом переоценки, осуществленной по состоянию на конец отчетного года)  и стоимости основных фондов на первое число каждого из всех остальных месяцев отчетного года. Для организаций, официально созданных или ликвидированных в течение отчетного года, среднегодовая стоимость основных фондов, определяется за весь год в целом.  Как правило, среднегодовая стоимость основных фондов находится в интервале между стоимостью основных фондов на начало и конец года. За пределы вышеназванного интервала среднегодовая стоимость  выходит при  большом движении фондов в течение года (поступлении или выбытии).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У бюджетных организаций какое стоимостное ограничение при заполнении формы № П-2 (инвест)?</w:t>
      </w:r>
    </w:p>
    <w:p>
      <w:pPr>
        <w:rPr/>
      </w:pPr>
      <w:r>
        <w:rPr/>
        <w:t xml:space="preserve">Ответ: По бюджетным организациям (включая автономные и казенные) не включаются в инвестиции в основной капитал затраты на приобретение активов стоимостью не более 3000 рублей включительно за единицу, отражаемые в бухгалтерском учете на забалансовом счете 21 "Основные средства стоимостью до 3000 рублей включительно в эксплуатации" (в соответствии с Планом счетов бухгалтерского учета бюджетных учреждений и Инструкцией по его применению, утвержденными приказом Минфина России от 16 декабря 2010 г. № 174н (зарегистрирован Минюстом России 2 февраля 2011 г. № 19669)).  Свыше 3000 рублей – отражается все затраты  на приобретение активов  независимо от способа начисления амортизации.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отражаются затраты организации на капитальный ремонт при заполнении формы № П-2 (инвест)?</w:t>
      </w:r>
    </w:p>
    <w:p>
      <w:pPr>
        <w:rPr/>
      </w:pPr>
      <w:r>
        <w:rPr/>
        <w:t xml:space="preserve">Ответ: По строке 1 отражаются затраты на модернизацию объекта, осуществляемую во время капитального ремонта, если выполненные работы приводят к увеличению первоначальной стоимости объекта, а учет затрат ведется в порядке, установленном для учета капитальных вложений.    Андрианова Н.А., отдел статистики строительства и ЖКХ  тел. 428-62-87</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По какой строке отражается продажа квартиры в многоквартирном доме при заполнении формы № П-2 (инвест)?</w:t>
      </w:r>
    </w:p>
    <w:p>
      <w:pPr>
        <w:rPr/>
      </w:pPr>
      <w:r>
        <w:rPr/>
        <w:t xml:space="preserve">Ответ: Стоимость проданных в отчетном году квартир, числившихся на балансе организации,  отражается в графе  7 по цене сделки купли-продажи без НДС.    Андрианова Н.А., отдел статистики строительства и ЖКХ  тел. 428-62-87</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отражаются затраты на проектно-изыскательские работы для строительства в форме № П-2 (инвест)?</w:t>
      </w:r>
    </w:p>
    <w:p>
      <w:pPr>
        <w:rPr/>
      </w:pPr>
      <w:r>
        <w:rPr/>
        <w:t xml:space="preserve">Ответ: Затраты на проектно-изыскательские работы для строительства являются инвестициями в основной капитал. Отражаются в размере фактически выполненного объема (независимо от момента оплаты) на основании документа (справки) о стоимости выполненных работ (затрат), подписанного заказчиком и организацией-исполнителем работ. Включаются в строку 1, в том числе 2 «жилища», 3 «здания (кроме жилых)», 4 «сооружения». Из строки 1 отражаются по строке 16.    Андрианова Н.А., отдел статистики строительства и ЖКХ  тел. 428-62-87</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Что поставить в поле «сектор экономики» при заполнении формы 4-ОС?</w:t>
      </w:r>
    </w:p>
    <w:p>
      <w:pPr>
        <w:rPr/>
      </w:pPr>
      <w:r>
        <w:rPr/>
        <w:t xml:space="preserve">Ответ: Респонденты, зарегистрированные  кодом ОКВЭД2 -  37 «Сбор сточных вод, отходов и аналогичная деятельность», в кодовой части формы по графе 3 должны указать - 26 (сектор производителей специализированных услуг по охране окружающей среды).  Остальные должны указать - 25 (коммерческий сектор).  Кроме этого, есть организации, которые должны представить два отчёта. Это те организации,  которые оказывают природоохранные услуги другим юридическим и физическим лицам и имеют для этого соответствующие фонды (технику, сооружения, оборудование). При этом данные услуги не относятся к основному виду деятельности. Данная ситуация наиболее вероятна для отчитывающихся респондентов с кодами ОКВЭД2 -  35, 36.</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Противодействие коррупции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Как я могу сообщить о факте коррупции?</w:t>
      </w:r>
    </w:p>
    <w:p>
      <w:pPr>
        <w:rPr/>
      </w:pPr>
      <w:r>
        <w:rPr/>
        <w:t xml:space="preserve">Ответ: О факте коррупции Вы можете сообщить следующими способами:  1.   Воспользоваться «телефоном доверия». Прием обращений абонентов, поступающих по «телефону доверия», осуществляется в автоматическом режиме с записью на автоответчик. Обращения принимаются по телефону 8(831)421-32-74.  2.   Направить в виде  почтового сообщение по адресу: 603950, г. Нижний Новгород, ул. Ошарская, д. 64.  3.   Оставить сообщение в корреспондентском ящике для получения письменных обращений по вопросам проявления коррупции, расположенном в холе административного здания Нижегородстата.  4.  Заполнив форму обратной связи на портале.  Конфиденциальность полученной информации гарантируется.  Ответ на обращение будет направлен по указанному Вами почтовому адресу. В случае отсутствия  указанных реквизитов обращение будет оставлено без ответа.  Анонимные обращения не принимаются и не регистрируются.   Ответственные за антикоррупционную работу:    Кулаева Валентина Александровна  Тел.: 8(831) 428-64-17    E-mail: P52_KulaevaVA@gks.ru     Куманева Ирина Владимировна  Тел.: 8(831) 428-10-38</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Электронная отчетность</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Почему отчет, переданный через спецоператора связи, не получает статус «принят», хотя все заполнено правильно?</w:t>
      </w:r>
    </w:p>
    <w:p>
      <w:pPr>
        <w:rPr/>
      </w:pPr>
      <w:r>
        <w:rPr/>
        <w:t xml:space="preserve">Ответ: Зачастую такая ситуация возникает из-за некорректного заполнения строки 16 отчета формы 7-травматизм «наличие на предприятии здравпункта», причем в бланке отчета следует обвести слова «да» или «нет», а XML- шаблон формы предусматривает только цифровое обозначение «да» =1, «нет»=0 .  У тех организаций, которые передают отчет спецоператору связи через систему 1С предусмотрено только буквенное обозначение, поэтому отчет не получает статус «принят» и организация не получает положительный протокол. В этом случае необходимо получить консультацию о возможности цифрового обозначения данных у спецоператора связи.</w:t>
      </w:r>
    </w:p>
    <w:p>
      <w:pPr>
        <w:keepNext w:val="on"/>
        <w:keepLines w:val="on"/>
        <w:widowControl w:val="on"/>
        <w:outlineLvl w:val="1"/>
        <w:rPr>
          <w:rFonts w:ascii="Cambria" w:hAnsi="Cambria" w:cs="Cambria"/>
          <w:b w:val="on"/>
          <w:bCs w:val="on"/>
          <w:sz w:val="28"/>
          <w:szCs w:val="28"/>
        </w:rPr>
      </w:pPr>
      <w:r>
        <w:rPr>
          <w:rFonts w:ascii="Cambria" w:hAnsi="Cambria" w:cs="Cambria"/>
          <w:b w:val="on"/>
          <w:bCs w:val="on"/>
          <w:sz w:val="28"/>
          <w:szCs w:val="28"/>
        </w:rPr>
        <w:t xml:space="preserve">Вопрос: Отчет не принимается, потому что не определен код хранения отчета и требуется вмешательство оператора, что это значит?</w:t>
      </w:r>
    </w:p>
    <w:p>
      <w:pPr>
        <w:rPr/>
      </w:pPr>
      <w:r>
        <w:rPr/>
        <w:t xml:space="preserve">Ответ: В XML-шаблоне формы 1-здрав во второй строке требуется указать «код структурного учреждения». Для самостоятельных юридических лиц это -1, для филиалов – 2.  Этого реквизита нет в бланке формы 1-здрав, но специалисты Нижегородстата всегда обращают внимание респондентов на заполнение этого реквизита в информационных письмах, направляемых в организации через спецоператоров связи.</w:t>
      </w:r>
    </w:p>
    <w:sectPr xmlns:w="http://schemas.openxmlformats.org/wordprocessingml/2006/main" w:rsidR="00AC197E" w:rsidRPr="00DF064E" w:rsidSect="000F6147">
      <w:pgSz w:w="11906" w:h="16838" w:orient="portrait" w:code="9"/>
      <w:pgMar w:top="1417" w:right="1701" w:bottom="1417" w:left="1701" w:header="708" w:footer="708" w:gutter="0"/>
      <w:cols w:space="708"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162238">
    <w:multiLevelType w:val="hybridMultilevel"/>
    <w:lvl w:ilvl="0" w:tplc="18127859">
      <w:start w:val="1"/>
      <w:numFmt w:val="decimal"/>
      <w:lvlText w:val="%1."/>
      <w:lvlJc w:val="left"/>
      <w:pPr>
        <w:ind w:left="720" w:hanging="360"/>
      </w:pPr>
    </w:lvl>
    <w:lvl w:ilvl="1" w:tplc="18127859" w:tentative="1">
      <w:start w:val="1"/>
      <w:numFmt w:val="lowerLetter"/>
      <w:lvlText w:val="%2."/>
      <w:lvlJc w:val="left"/>
      <w:pPr>
        <w:ind w:left="1440" w:hanging="360"/>
      </w:pPr>
    </w:lvl>
    <w:lvl w:ilvl="2" w:tplc="18127859" w:tentative="1">
      <w:start w:val="1"/>
      <w:numFmt w:val="lowerRoman"/>
      <w:lvlText w:val="%3."/>
      <w:lvlJc w:val="right"/>
      <w:pPr>
        <w:ind w:left="2160" w:hanging="180"/>
      </w:pPr>
    </w:lvl>
    <w:lvl w:ilvl="3" w:tplc="18127859" w:tentative="1">
      <w:start w:val="1"/>
      <w:numFmt w:val="decimal"/>
      <w:lvlText w:val="%4."/>
      <w:lvlJc w:val="left"/>
      <w:pPr>
        <w:ind w:left="2880" w:hanging="360"/>
      </w:pPr>
    </w:lvl>
    <w:lvl w:ilvl="4" w:tplc="18127859" w:tentative="1">
      <w:start w:val="1"/>
      <w:numFmt w:val="lowerLetter"/>
      <w:lvlText w:val="%5."/>
      <w:lvlJc w:val="left"/>
      <w:pPr>
        <w:ind w:left="3600" w:hanging="360"/>
      </w:pPr>
    </w:lvl>
    <w:lvl w:ilvl="5" w:tplc="18127859" w:tentative="1">
      <w:start w:val="1"/>
      <w:numFmt w:val="lowerRoman"/>
      <w:lvlText w:val="%6."/>
      <w:lvlJc w:val="right"/>
      <w:pPr>
        <w:ind w:left="4320" w:hanging="180"/>
      </w:pPr>
    </w:lvl>
    <w:lvl w:ilvl="6" w:tplc="18127859" w:tentative="1">
      <w:start w:val="1"/>
      <w:numFmt w:val="decimal"/>
      <w:lvlText w:val="%7."/>
      <w:lvlJc w:val="left"/>
      <w:pPr>
        <w:ind w:left="5040" w:hanging="360"/>
      </w:pPr>
    </w:lvl>
    <w:lvl w:ilvl="7" w:tplc="18127859" w:tentative="1">
      <w:start w:val="1"/>
      <w:numFmt w:val="lowerLetter"/>
      <w:lvlText w:val="%8."/>
      <w:lvlJc w:val="left"/>
      <w:pPr>
        <w:ind w:left="5760" w:hanging="360"/>
      </w:pPr>
    </w:lvl>
    <w:lvl w:ilvl="8" w:tplc="18127859" w:tentative="1">
      <w:start w:val="1"/>
      <w:numFmt w:val="lowerRoman"/>
      <w:lvlText w:val="%9."/>
      <w:lvlJc w:val="right"/>
      <w:pPr>
        <w:ind w:left="6480" w:hanging="180"/>
      </w:pPr>
    </w:lvl>
  </w:abstractNum>
  <w:abstractNum w:abstractNumId="14162237">
    <w:multiLevelType w:val="hybridMultilevel"/>
    <w:lvl w:ilvl="0" w:tplc="9289033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162237">
    <w:abstractNumId w:val="14162237"/>
  </w:num>
  <w:num w:numId="14162238">
    <w:abstractNumId w:val="141622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AC197E"/>
    <w:rsid w:val="00B21D59"/>
    <w:rsid w:val="00BD419F"/>
    <w:rsid w:val="00DF064E"/>
    <w:rsid w:val="00FB45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PHPDOCX" w:semiHidden="0" w:uiPriority="0" w:unhideWhenUsed="0" w:qFormat="1"/>
    <w:lsdException w:name="Heading 1 PHPDOCX" w:semiHidden="0" w:uiPriority="9" w:unhideWhenUsed="0" w:qFormat="1"/>
    <w:lsdException w:name="Heading 2 PHPDOCX" w:uiPriority="9" w:qFormat="1"/>
    <w:lsdException w:name="Heading 3 PHPDOCX" w:uiPriority="9" w:qFormat="1"/>
    <w:lsdException w:name="Heading 4 PHPDOCX" w:uiPriority="9" w:qFormat="1"/>
    <w:lsdException w:name="Heading 5 PHPDOCX" w:uiPriority="9" w:qFormat="1"/>
    <w:lsdException w:name="Heading 6 PHPDOCX" w:uiPriority="9" w:qFormat="1"/>
    <w:lsdException w:name="Heading 7 PHPDOCX" w:uiPriority="9" w:qFormat="1"/>
    <w:lsdException w:name="Heading 8 PHPDOCX" w:uiPriority="9" w:qFormat="1"/>
    <w:lsdException w:name="Heading 9 PHPDOCX" w:uiPriority="9" w:qFormat="1"/>
    <w:lsdException w:name="toc 1 PHPDOCX" w:uiPriority="39"/>
    <w:lsdException w:name="toc 2 PHPDOCX" w:uiPriority="39"/>
    <w:lsdException w:name="toc 3 PHPDOCX" w:uiPriority="39"/>
    <w:lsdException w:name="toc 4 PHPDOCX" w:uiPriority="39"/>
    <w:lsdException w:name="toc 5 PHPDOCX" w:uiPriority="39"/>
    <w:lsdException w:name="toc 6 PHPDOCX" w:uiPriority="39"/>
    <w:lsdException w:name="toc 7 PHPDOCX" w:uiPriority="39"/>
    <w:lsdException w:name="toc 8 PHPDOCX" w:uiPriority="39"/>
    <w:lsdException w:name="toc 9 PHPDOCX" w:uiPriority="39"/>
    <w:lsdException w:name="caption PHPDOCX" w:uiPriority="35" w:qFormat="1"/>
    <w:lsdException w:name="Title PHPDOCX" w:semiHidden="0" w:uiPriority="10" w:unhideWhenUsed="0" w:qFormat="1"/>
    <w:lsdException w:name="Default Paragraph Font PHPDOCX" w:uiPriority="1"/>
    <w:lsdException w:name="Subtitle PHPDOCX" w:semiHidden="0" w:uiPriority="11" w:unhideWhenUsed="0" w:qFormat="1"/>
    <w:lsdException w:name="Strong PHPDOCX" w:semiHidden="0" w:uiPriority="22" w:unhideWhenUsed="0" w:qFormat="1"/>
    <w:lsdException w:name="Emphasis PHPDOCX" w:semiHidden="0" w:uiPriority="20" w:unhideWhenUsed="0" w:qFormat="1"/>
    <w:lsdException w:name="Normal Table PHPDOCX" w:semiHidden="0" w:uiPriority="58" w:unhideWhenUsed="0"/>
    <w:lsdException w:name="Table Grid PHPDOCX" w:semiHidden="0" w:uiPriority="59" w:unhideWhenUsed="0"/>
    <w:lsdException w:name="Placeholder Text PHPDOCX" w:unhideWhenUsed="0"/>
    <w:lsdException w:name="No Spacing PHPDOCX" w:semiHidden="0" w:uiPriority="1" w:unhideWhenUsed="0" w:qFormat="1"/>
    <w:lsdException w:name="Light Shading PHPDOCX" w:semiHidden="0" w:uiPriority="60" w:unhideWhenUsed="0"/>
    <w:lsdException w:name="Light List PHPDOCX" w:semiHidden="0" w:uiPriority="61" w:unhideWhenUsed="0"/>
    <w:lsdException w:name="Light Grid PHPDOCX" w:semiHidden="0" w:uiPriority="62" w:unhideWhenUsed="0"/>
    <w:lsdException w:name="Medium Shading 1 PHPDOCX" w:semiHidden="0" w:uiPriority="63" w:unhideWhenUsed="0"/>
    <w:lsdException w:name="Medium Shading 2 PHPDOCX" w:semiHidden="0" w:uiPriority="64" w:unhideWhenUsed="0"/>
    <w:lsdException w:name="Medium List 1 PHPDOCX" w:semiHidden="0" w:uiPriority="65" w:unhideWhenUsed="0"/>
    <w:lsdException w:name="Medium List 2 PHPDOCX" w:semiHidden="0" w:uiPriority="66" w:unhideWhenUsed="0"/>
    <w:lsdException w:name="Medium Grid 1 PHPDOCX" w:semiHidden="0" w:uiPriority="67" w:unhideWhenUsed="0"/>
    <w:lsdException w:name="Medium Grid 2 PHPDOCX" w:semiHidden="0" w:uiPriority="68" w:unhideWhenUsed="0"/>
    <w:lsdException w:name="Medium Grid 3 PHPDOCX" w:semiHidden="0" w:uiPriority="69" w:unhideWhenUsed="0"/>
    <w:lsdException w:name="Dark List PHPDOCX" w:semiHidden="0" w:uiPriority="70" w:unhideWhenUsed="0"/>
    <w:lsdException w:name="Colorful Shading PHPDOCX" w:semiHidden="0" w:uiPriority="71" w:unhideWhenUsed="0"/>
    <w:lsdException w:name="Colorful List PHPDOCX" w:semiHidden="0" w:uiPriority="72" w:unhideWhenUsed="0"/>
    <w:lsdException w:name="Colorful Grid PHPDOCX" w:semiHidden="0" w:uiPriority="73" w:unhideWhenUsed="0"/>
    <w:lsdException w:name="Light Shading Accent 1 PHPDOCX" w:semiHidden="0" w:uiPriority="60" w:unhideWhenUsed="0"/>
    <w:lsdException w:name="Light List Accent 1 PHPDOCX" w:semiHidden="0" w:uiPriority="61" w:unhideWhenUsed="0"/>
    <w:lsdException w:name="Light Grid Accent 1 PHPDOCX" w:semiHidden="0" w:uiPriority="62" w:unhideWhenUsed="0"/>
    <w:lsdException w:name="Medium Shading 1 Accent 1 PHPDOCX" w:semiHidden="0" w:uiPriority="63" w:unhideWhenUsed="0"/>
    <w:lsdException w:name="Medium Shading 2 Accent 1 PHPDOCX" w:semiHidden="0" w:uiPriority="64" w:unhideWhenUsed="0"/>
    <w:lsdException w:name="Medium List 1 Accent 1 PHPDOCX" w:semiHidden="0" w:uiPriority="65" w:unhideWhenUsed="0"/>
    <w:lsdException w:name="Revision PHPDOCX" w:unhideWhenUsed="0"/>
    <w:lsdException w:name="List Paragraph PHPDOCX" w:semiHidden="0" w:uiPriority="34" w:unhideWhenUsed="0" w:qFormat="1"/>
    <w:lsdException w:name="Quote PHPDOCX" w:semiHidden="0" w:uiPriority="29" w:unhideWhenUsed="0" w:qFormat="1"/>
    <w:lsdException w:name="Intense Quote PHPDOCX" w:semiHidden="0" w:uiPriority="30" w:unhideWhenUsed="0" w:qFormat="1"/>
    <w:lsdException w:name="Medium List 2 Accent 1 PHPDOCX" w:semiHidden="0" w:uiPriority="66" w:unhideWhenUsed="0"/>
    <w:lsdException w:name="Medium Grid 1 Accent 1 PHPDOCX" w:semiHidden="0" w:uiPriority="67" w:unhideWhenUsed="0"/>
    <w:lsdException w:name="Medium Grid 2 Accent 1 PHPDOCX" w:semiHidden="0" w:uiPriority="68" w:unhideWhenUsed="0"/>
    <w:lsdException w:name="Medium Grid 3 Accent 1 PHPDOCX" w:semiHidden="0" w:uiPriority="69" w:unhideWhenUsed="0"/>
    <w:lsdException w:name="Dark List Accent 1 PHPDOCX" w:semiHidden="0" w:uiPriority="70" w:unhideWhenUsed="0"/>
    <w:lsdException w:name="Colorful Shading Accent 1 PHPDOCX" w:semiHidden="0" w:uiPriority="71" w:unhideWhenUsed="0"/>
    <w:lsdException w:name="Colorful List Accent 1 PHPDOCX" w:semiHidden="0" w:uiPriority="72" w:unhideWhenUsed="0"/>
    <w:lsdException w:name="Colorful Grid Accent 1 PHPDOCX" w:semiHidden="0" w:uiPriority="73" w:unhideWhenUsed="0"/>
    <w:lsdException w:name="Light Shading Accent 2 PHPDOCX" w:semiHidden="0" w:uiPriority="60" w:unhideWhenUsed="0"/>
    <w:lsdException w:name="Light List Accent 2 PHPDOCX" w:semiHidden="0" w:uiPriority="61" w:unhideWhenUsed="0"/>
    <w:lsdException w:name="Light Grid Accent 2 PHPDOCX" w:semiHidden="0" w:uiPriority="62" w:unhideWhenUsed="0"/>
    <w:lsdException w:name="Medium Shading 1 Accent 2 PHPDOCX" w:semiHidden="0" w:uiPriority="63" w:unhideWhenUsed="0"/>
    <w:lsdException w:name="Medium Shading 2 Accent 2 PHPDOCX" w:semiHidden="0" w:uiPriority="64" w:unhideWhenUsed="0"/>
    <w:lsdException w:name="Medium List 1 Accent 2 PHPDOCX" w:semiHidden="0" w:uiPriority="65" w:unhideWhenUsed="0"/>
    <w:lsdException w:name="Medium List 2 Accent 2 PHPDOCX" w:semiHidden="0" w:uiPriority="66" w:unhideWhenUsed="0"/>
    <w:lsdException w:name="Medium Grid 1 Accent 2 PHPDOCX" w:semiHidden="0" w:uiPriority="67" w:unhideWhenUsed="0"/>
    <w:lsdException w:name="Medium Grid 2 Accent 2 PHPDOCX" w:semiHidden="0" w:uiPriority="68" w:unhideWhenUsed="0"/>
    <w:lsdException w:name="Medium Grid 3 Accent 2 PHPDOCX" w:semiHidden="0" w:uiPriority="69" w:unhideWhenUsed="0"/>
    <w:lsdException w:name="Dark List Accent 2 PHPDOCX" w:semiHidden="0" w:uiPriority="70" w:unhideWhenUsed="0"/>
    <w:lsdException w:name="Colorful Shading Accent 2 PHPDOCX" w:semiHidden="0" w:uiPriority="71" w:unhideWhenUsed="0"/>
    <w:lsdException w:name="Colorful List Accent 2 PHPDOCX" w:semiHidden="0" w:uiPriority="72" w:unhideWhenUsed="0"/>
    <w:lsdException w:name="Colorful Grid Accent 2 PHPDOCX" w:semiHidden="0" w:uiPriority="73" w:unhideWhenUsed="0"/>
    <w:lsdException w:name="Light Shading Accent 3 PHPDOCX" w:semiHidden="0" w:uiPriority="60" w:unhideWhenUsed="0"/>
    <w:lsdException w:name="Light List Accent 3 PHPDOCX" w:semiHidden="0" w:uiPriority="61" w:unhideWhenUsed="0"/>
    <w:lsdException w:name="Light Grid Accent 3 PHPDOCX" w:semiHidden="0" w:uiPriority="62" w:unhideWhenUsed="0"/>
    <w:lsdException w:name="Medium Shading 1 Accent 3 PHPDOCX" w:semiHidden="0" w:uiPriority="63" w:unhideWhenUsed="0"/>
    <w:lsdException w:name="Medium Shading 2 Accent 3 PHPDOCX" w:semiHidden="0" w:uiPriority="64" w:unhideWhenUsed="0"/>
    <w:lsdException w:name="Medium List 1 Accent 3 PHPDOCX" w:semiHidden="0" w:uiPriority="65" w:unhideWhenUsed="0"/>
    <w:lsdException w:name="Medium List 2 Accent 3 PHPDOCX" w:semiHidden="0" w:uiPriority="66" w:unhideWhenUsed="0"/>
    <w:lsdException w:name="Medium Grid 1 Accent 3 PHPDOCX" w:semiHidden="0" w:uiPriority="67" w:unhideWhenUsed="0"/>
    <w:lsdException w:name="Medium Grid 2 Accent 3 PHPDOCX" w:semiHidden="0" w:uiPriority="68" w:unhideWhenUsed="0"/>
    <w:lsdException w:name="Medium Grid 3 Accent 3 PHPDOCX" w:semiHidden="0" w:uiPriority="69" w:unhideWhenUsed="0"/>
    <w:lsdException w:name="Dark List Accent 3 PHPDOCX" w:semiHidden="0" w:uiPriority="70" w:unhideWhenUsed="0"/>
    <w:lsdException w:name="Colorful Shading Accent 3 PHPDOCX" w:semiHidden="0" w:uiPriority="71" w:unhideWhenUsed="0"/>
    <w:lsdException w:name="Colorful List Accent 3 PHPDOCX" w:semiHidden="0" w:uiPriority="72" w:unhideWhenUsed="0"/>
    <w:lsdException w:name="Colorful Grid Accent 3 PHPDOCX" w:semiHidden="0" w:uiPriority="73" w:unhideWhenUsed="0"/>
    <w:lsdException w:name="Light Shading Accent 4 PHPDOCX" w:semiHidden="0" w:uiPriority="60" w:unhideWhenUsed="0"/>
    <w:lsdException w:name="Light List Accent 4 PHPDOCX" w:semiHidden="0" w:uiPriority="61" w:unhideWhenUsed="0"/>
    <w:lsdException w:name="Light Grid Accent 4 PHPDOCX" w:semiHidden="0" w:uiPriority="62" w:unhideWhenUsed="0"/>
    <w:lsdException w:name="Medium Shading 1 Accent 4 PHPDOCX" w:semiHidden="0" w:uiPriority="63" w:unhideWhenUsed="0"/>
    <w:lsdException w:name="Medium Shading 2 Accent 4 PHPDOCX" w:semiHidden="0" w:uiPriority="64" w:unhideWhenUsed="0"/>
    <w:lsdException w:name="Medium List 1 Accent 4 PHPDOCX" w:semiHidden="0" w:uiPriority="65" w:unhideWhenUsed="0"/>
    <w:lsdException w:name="Medium List 2 Accent 4 PHPDOCX" w:semiHidden="0" w:uiPriority="66" w:unhideWhenUsed="0"/>
    <w:lsdException w:name="Medium Grid 1 Accent 4 PHPDOCX" w:semiHidden="0" w:uiPriority="67" w:unhideWhenUsed="0"/>
    <w:lsdException w:name="Medium Grid 2 Accent 4 PHPDOCX" w:semiHidden="0" w:uiPriority="68" w:unhideWhenUsed="0"/>
    <w:lsdException w:name="Medium Grid 3 Accent 4 PHPDOCX" w:semiHidden="0" w:uiPriority="69" w:unhideWhenUsed="0"/>
    <w:lsdException w:name="Dark List Accent 4 PHPDOCX" w:semiHidden="0" w:uiPriority="70" w:unhideWhenUsed="0"/>
    <w:lsdException w:name="Colorful Shading Accent 4 PHPDOCX" w:semiHidden="0" w:uiPriority="71" w:unhideWhenUsed="0"/>
    <w:lsdException w:name="Colorful List Accent 4 PHPDOCX" w:semiHidden="0" w:uiPriority="72" w:unhideWhenUsed="0"/>
    <w:lsdException w:name="Colorful Grid Accent 4 PHPDOCX" w:semiHidden="0" w:uiPriority="73" w:unhideWhenUsed="0"/>
    <w:lsdException w:name="Light Shading Accent 5 PHPDOCX" w:semiHidden="0" w:uiPriority="60" w:unhideWhenUsed="0"/>
    <w:lsdException w:name="Light List Accent 5 PHPDOCX" w:semiHidden="0" w:uiPriority="61" w:unhideWhenUsed="0"/>
    <w:lsdException w:name="Light Grid Accent 5 PHPDOCX" w:semiHidden="0" w:uiPriority="62" w:unhideWhenUsed="0"/>
    <w:lsdException w:name="Medium Shading 1 Accent 5 PHPDOCX" w:semiHidden="0" w:uiPriority="63" w:unhideWhenUsed="0"/>
    <w:lsdException w:name="Medium Shading 2 Accent 5 PHPDOCX" w:semiHidden="0" w:uiPriority="64" w:unhideWhenUsed="0"/>
    <w:lsdException w:name="Medium List 1 Accent 5 PHPDOCX" w:semiHidden="0" w:uiPriority="65" w:unhideWhenUsed="0"/>
    <w:lsdException w:name="Medium List 2 Accent 5 PHPDOCX" w:semiHidden="0" w:uiPriority="66" w:unhideWhenUsed="0"/>
    <w:lsdException w:name="Medium Grid 1 Accent 5 PHPDOCX" w:semiHidden="0" w:uiPriority="67" w:unhideWhenUsed="0"/>
    <w:lsdException w:name="Medium Grid 2 Accent 5 PHPDOCX" w:semiHidden="0" w:uiPriority="68" w:unhideWhenUsed="0"/>
    <w:lsdException w:name="Medium Grid 3 Accent 5 PHPDOCX" w:semiHidden="0" w:uiPriority="69" w:unhideWhenUsed="0"/>
    <w:lsdException w:name="Dark List Accent 5 PHPDOCX" w:semiHidden="0" w:uiPriority="70" w:unhideWhenUsed="0"/>
    <w:lsdException w:name="Colorful Shading Accent 5 PHPDOCX" w:semiHidden="0" w:uiPriority="71" w:unhideWhenUsed="0"/>
    <w:lsdException w:name="Colorful List Accent 5 PHPDOCX" w:semiHidden="0" w:uiPriority="72" w:unhideWhenUsed="0"/>
    <w:lsdException w:name="Colorful Grid Accent 5 PHPDOCX" w:semiHidden="0" w:uiPriority="73" w:unhideWhenUsed="0"/>
    <w:lsdException w:name="Light Shading Accent 6 PHPDOCX" w:semiHidden="0" w:uiPriority="60" w:unhideWhenUsed="0"/>
    <w:lsdException w:name="Light List Accent 6 PHPDOCX" w:semiHidden="0" w:uiPriority="61" w:unhideWhenUsed="0"/>
    <w:lsdException w:name="Light Grid Accent 6 PHPDOCX" w:semiHidden="0" w:uiPriority="62" w:unhideWhenUsed="0"/>
    <w:lsdException w:name="Medium Shading 1 Accent 6 PHPDOCX" w:semiHidden="0" w:uiPriority="63" w:unhideWhenUsed="0"/>
    <w:lsdException w:name="Medium Shading 2 Accent 6 PHPDOCX" w:semiHidden="0" w:uiPriority="64" w:unhideWhenUsed="0"/>
    <w:lsdException w:name="Medium List 1 Accent 6 PHPDOCX" w:semiHidden="0" w:uiPriority="65" w:unhideWhenUsed="0"/>
    <w:lsdException w:name="Medium List 2 Accent 6 PHPDOCX" w:semiHidden="0" w:uiPriority="66" w:unhideWhenUsed="0"/>
    <w:lsdException w:name="Medium Grid 1 Accent 6 PHPDOCX" w:semiHidden="0" w:uiPriority="67" w:unhideWhenUsed="0"/>
    <w:lsdException w:name="Medium Grid 2 Accent 6 PHPDOCX" w:semiHidden="0" w:uiPriority="68" w:unhideWhenUsed="0"/>
    <w:lsdException w:name="Medium Grid 3 Accent 6 PHPDOCX" w:semiHidden="0" w:uiPriority="69" w:unhideWhenUsed="0"/>
    <w:lsdException w:name="Dark List Accent 6 PHPDOCX" w:semiHidden="0" w:uiPriority="70" w:unhideWhenUsed="0"/>
    <w:lsdException w:name="Colorful Shading Accent 6 PHPDOCX" w:semiHidden="0" w:uiPriority="71" w:unhideWhenUsed="0"/>
    <w:lsdException w:name="Colorful List Accent 6 PHPDOCX" w:semiHidden="0" w:uiPriority="72" w:unhideWhenUsed="0"/>
    <w:lsdException w:name="Colorful Grid Accent 6 PHPDOCX" w:semiHidden="0" w:uiPriority="73" w:unhideWhenUsed="0"/>
    <w:lsdException w:name="Subtle Emphasis PHPDOCX" w:semiHidden="0" w:uiPriority="19" w:unhideWhenUsed="0" w:qFormat="1"/>
    <w:lsdException w:name="Intense Emphasis PHPDOCX" w:semiHidden="0" w:uiPriority="21" w:unhideWhenUsed="0" w:qFormat="1"/>
    <w:lsdException w:name="Subtle Reference PHPDOCX" w:semiHidden="0" w:uiPriority="31" w:unhideWhenUsed="0" w:qFormat="1"/>
    <w:lsdException w:name="Intense Reference PHPDOCX" w:semiHidden="0" w:uiPriority="32" w:unhideWhenUsed="0" w:qFormat="1"/>
    <w:lsdException w:name="Book Title PHPDOCX" w:semiHidden="0" w:uiPriority="33" w:unhideWhenUsed="0" w:qFormat="1"/>
    <w:lsdException w:name="Bibliography PHPDOCX" w:uiPriority="37"/>
    <w:lsdException w:name="TOC Heading PHPDOCX" w:uiPriority="39" w:qFormat="1"/>
  </w:latentStyles>
  <w:style w:type="paragraph" w:default="1" w:styleId="Normal">
    <w:name w:val="Normal"/>
    <w:qFormat/>
    <w:rsid w:val="000F6147"/>
  </w:style>
  <w:style w:type="paragraph" w:styleId="Heading1PHPDOCX">
    <w:name w:val="Heading 1 PHPDOCX"/>
    <w:basedOn w:val="Normal"/>
    <w:next w:val="Normal"/>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PHPDOCX">
    <w:name w:val="Heading 2 PHPDOCX"/>
    <w:basedOn w:val="Normal"/>
    <w:next w:val="Normal"/>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PHPDOCX">
    <w:name w:val="Heading 3 PHPDOCX"/>
    <w:basedOn w:val="Normal"/>
    <w:next w:val="Normal"/>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w:type="character" w:default="1" w:styleId="DefaultParagraphFontPHPDOCX">
    <w:name w:val="Default Paragraph Font PHPDOCX"/>
    <w:uiPriority w:val="1"/>
    <w:semiHidden/>
    <w:unhideWhenUsed/>
  </w:style>
  <w:style w:type="numbering" w:default="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styleId="SubtleEmphasisPHPDOCX">
    <w:name w:val="Subtle Emphasis PHPDOCX"/>
    <w:basedOn w:val="DefaultParagraphFontPHPDOCX"/>
    <w:uiPriority w:val="19"/>
    <w:qFormat/>
    <w:rsid w:val="00DF064E"/>
    <w:rPr>
      <w:i/>
      <w:iCs/>
      <w:color w:val="808080" w:themeColor="text1" w:themeTint="7F"/>
    </w:rPr>
  </w:style>
  <w:style w:type="character" w:styleId="EmphasisPHPDOCX">
    <w:name w:val="Emphasis PHPDOCX"/>
    <w:basedOn w:val="DefaultParagraphFontPHPDOCX"/>
    <w:uiPriority w:val="20"/>
    <w:qFormat/>
    <w:rsid w:val="00DF064E"/>
    <w:rPr>
      <w:i/>
      <w:iCs/>
    </w:rPr>
  </w:style>
  <w:style w:type="character" w:styleId="IntenseEmphasisPHPDOCX">
    <w:name w:val="Intense Emphasis PHPDOCX"/>
    <w:basedOn w:val="DefaultParagraphFontPHPDOCX"/>
    <w:uiPriority w:val="21"/>
    <w:qFormat/>
    <w:rsid w:val="00DF064E"/>
    <w:rPr>
      <w:b/>
      <w:bCs/>
      <w:i/>
      <w:iCs/>
      <w:color w:val="4F81BD" w:themeColor="accent1"/>
    </w:rPr>
  </w:style>
  <w:style w:type="character" w:styleId="Strong PHPDOCX">
    <w:name w:val="Strong PHPDOCX"/>
    <w:basedOn w:val="DefaultParagraphFontPHPDOCX"/>
    <w:uiPriority w:val="22"/>
    <w:qFormat/>
    <w:rsid w:val="00DF064E"/>
    <w:rPr>
      <w:b/>
      <w:bCs/>
    </w:rPr>
  </w:style>
  <w:style w:type="paragraph"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styleId="SubtleReferencePHPDOCX">
    <w:name w:val="Subtle Reference PHPDOCX"/>
    <w:basedOn w:val="DefaultParagraphFontPHPDOCX"/>
    <w:uiPriority w:val="31"/>
    <w:qFormat/>
    <w:rsid w:val="00DF064E"/>
    <w:rPr>
      <w:smallCaps/>
      <w:color w:val="C0504D" w:themeColor="accent2"/>
      <w:u w:val="single"/>
    </w:rPr>
  </w:style>
  <w:style w:type="character"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styleId="BookTitlePHPDOCX">
    <w:name w:val="Book Title PHPDOCX"/>
    <w:basedOn w:val="DefaultParagraphFontPHPDOCX"/>
    <w:uiPriority w:val="33"/>
    <w:qFormat/>
    <w:rsid w:val="00DF064E"/>
    <w:rPr>
      <w:b/>
      <w:bCs/>
      <w:smallCaps/>
      <w:spacing w:val="5"/>
    </w:rPr>
  </w:style>
  <w:style w:type="paragraph" w:styleId="ListParagraphPHPDOCX">
    <w:name w:val="List Paragraph PHPDOCX"/>
    <w:basedOn w:val="Normal"/>
    <w:uiPriority w:val="34"/>
    <w:qFormat/>
    <w:rsid w:val="00DF064E"/>
    <w:pPr>
      <w:ind w:left="720"/>
      <w:contextualSpacing/>
    </w:pPr>
  </w:style>
  <w:style w:type="paragraph"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default="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styleId="PlainTablePHPDOCX">
    <w:name w:val="Plain Table PHPDOCX"/>
    <w:uiPriority w:val="58"/>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uiPriority w:val="60"/>
    <w:rsid w:val="00493A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uiPriority w:val="60"/>
    <w:rsid w:val="00493A0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PHPDOCX">
    <w:name w:val="Light Shading Accent 2 PHPDOCX"/>
    <w:uiPriority w:val="60"/>
    <w:rsid w:val="00493A0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PHPDOCX">
    <w:name w:val="Light Shading Accent 3 PHPDOCX"/>
    <w:uiPriority w:val="60"/>
    <w:rsid w:val="00493A0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PHPDOCX">
    <w:name w:val="Light Shading Accent 4 PHPDOCX"/>
    <w:uiPriority w:val="60"/>
    <w:rsid w:val="00493A0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PHPDOCX">
    <w:name w:val="Light Shading Accent 5 PHPDOCX"/>
    <w:uiPriority w:val="60"/>
    <w:rsid w:val="00493A0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PHPDOCX">
    <w:name w:val="Light List Accent 2 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PHPDOCX">
    <w:name w:val="Light List Accent 3 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PHPDOCX">
    <w:name w:val="Light List Accent 4 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PHPDOCX">
    <w:name w:val="Light List Accent 5 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PHPDOCX">
    <w:name w:val="Light List Accent 6 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PHPDOCX">
    <w:name w:val="Light Grid 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1PHPDOCX">
    <w:name w:val="Light Grid 1 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2PHPDOCX">
    <w:name w:val="Light Grid 2 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3PHPDOCX">
    <w:name w:val="Light Grid 3 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4PHPDOCX">
    <w:name w:val="Light Grid 4 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5PHPDOCX">
    <w:name w:val="Light Grid 5 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6PHPDOCX">
    <w:name w:val="Light Grid 6 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PHPDOCX">
    <w:name w:val="Medium Shading 1 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PHPDOCX">
    <w:name w:val="Medium Shading 1 Accent 1 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PHPDOCX">
    <w:name w:val="Medium Shading 1 Accent 2 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PHPDOCX">
    <w:name w:val="Medium Shading 1 Accent 3 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PHPDOCX">
    <w:name w:val="Medium Shading 1 Accent 4 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PHPDOCX">
    <w:name w:val="Medium Shading 1 Accent 5 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PHPDOCX">
    <w:name w:val="Medium Shading 1 Accent 6 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PHPDOCX">
    <w:name w:val="Medium Shading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PHPDOCX">
    <w:name w:val="Medium Shading 2 Accent 1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PHPDOCX">
    <w:name w:val="Medium Shading 2 Accent 2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PHPDOCX">
    <w:name w:val="Medium Shading 2 Accent 3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PHPDOCX">
    <w:name w:val="Medium Shading 2 Accent 4 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PHPDOCX">
    <w:name w:val="Medium Shading 2 Accent 5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PHPDOCX">
    <w:name w:val="Medium Shading 2 Accent 6 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PHPDOCX">
    <w:name w:val="Medium List 1 PHPDOCX"/>
    <w:uiPriority w:val="65"/>
    <w:rsid w:val="00361FF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PHPDOCX">
    <w:name w:val="Medium List 1 Accent 1 PHPDOCX"/>
    <w:uiPriority w:val="65"/>
    <w:rsid w:val="00361FF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PHPDOCX">
    <w:name w:val="Medium List 1 Accent 2 PHPDOCX"/>
    <w:uiPriority w:val="65"/>
    <w:rsid w:val="00361FF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PHPDOCX">
    <w:name w:val="Medium List 1 Accent 3 PHPDOCX"/>
    <w:uiPriority w:val="65"/>
    <w:rsid w:val="00361FF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PHPDOCX">
    <w:name w:val="Medium List 1 Accent 4 PHPDOCX"/>
    <w:uiPriority w:val="65"/>
    <w:rsid w:val="00361FF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PHPDOCX">
    <w:name w:val="Medium List 1 Accent 5 PHPDOCX"/>
    <w:uiPriority w:val="65"/>
    <w:rsid w:val="00361FF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PHPDOCX">
    <w:name w:val="Medium List 1 Accent 6 PHPDOCX"/>
    <w:uiPriority w:val="65"/>
    <w:rsid w:val="00361FF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PHPDOCX">
    <w:name w:val="Medium List 2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PHPDOCX">
    <w:name w:val="Medium List 2 Accent 1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PHPDOCX">
    <w:name w:val="Medium List 2 Accent 2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PHPDOCX">
    <w:name w:val="Medium List 2 Accent 3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PHPDOCX">
    <w:name w:val="Medium List 2 Accent 4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PHPDOCX">
    <w:name w:val="Medium List 2 Accent 5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PHPDOCX">
    <w:name w:val="Medium List 2 Accent 6 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PHPDOCX">
    <w:name w:val="Medium Grid 1 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PHPDOCX">
    <w:name w:val="Medium Grid 1 Accent 1 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PHPDOCX">
    <w:name w:val="Medium Grid 1 Accent 2 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PHPDOCX">
    <w:name w:val="Medium Grid 1 Accent 3 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PHPDOCX">
    <w:name w:val="Medium Grid 1 Accent 4 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PHPDOCX">
    <w:name w:val="Medium Grid 1 Accent 5 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PHPDOCX">
    <w:name w:val="Medium Grid 1 Accent 6 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PHPDOCX">
    <w:name w:val="Medium Grid 2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PHPDOCX">
    <w:name w:val="Medium Grid 2 Accent 1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PHPDOCX">
    <w:name w:val="Medium Grid 2 Accent 2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PHPDOCX">
    <w:name w:val="Medium Grid 2 Accent 3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PHPDOCX">
    <w:name w:val="Medium Grid 2 Accent 4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PHPDOCX">
    <w:name w:val="Medium Grid 2 Accent 5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PHPDOCX">
    <w:name w:val="Medium Grid 2 Accent 6 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PHPDOCX">
    <w:name w:val="Medium Grid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PHPDOCX">
    <w:name w:val="Medium Grid 3 Accent 1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PHPDOCX">
    <w:name w:val="Medium Grid 3 Accent 2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PHPDOCX">
    <w:name w:val="Medium Grid 3 Accent 3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5PHPDOCX">
    <w:name w:val="Medium Grid 3 Accent 5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4PHPDOCX">
    <w:name w:val="Medium Grid 3 Accent 4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6PHPDOCX">
    <w:name w:val="Medium Grid 3 Accent 6 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PHPDOCX">
    <w:name w:val="Dark List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PHPDOCX">
    <w:name w:val="Dark List Accent 1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PHPDOCX">
    <w:name w:val="Dark List Accent 2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PHPDOCX">
    <w:name w:val="Dark List Accent 3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PHPDOCX">
    <w:name w:val="Dark List Accent 4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PHPDOCX">
    <w:name w:val="Dark List Accent 5 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PHPDOCX">
    <w:name w:val="Dark List Accent 6 PHPDOCX"/>
    <w:uiPriority w:val="70"/>
    <w:rsid w:val="00AC197E"/>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PHPDOCX">
    <w:name w:val="Colorful Shading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PHPDOCX">
    <w:name w:val="Colorful Shading Accent 1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PHPDOCX">
    <w:name w:val="Colorful Shading Accent 2 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PHPDOCX">
    <w:name w:val="Colorful Shading Accent 3 PHPDOCX"/>
    <w:uiPriority w:val="71"/>
    <w:rsid w:val="00AC197E"/>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PHPDOCX">
    <w:name w:val="Colorful Shading Accent 4 PHPDOCX"/>
    <w:uiPriority w:val="71"/>
    <w:rsid w:val="00AC197E"/>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PHPDOCX">
    <w:name w:val="Colorful Shading Accent 5 PHPDOCX"/>
    <w:uiPriority w:val="71"/>
    <w:rsid w:val="00AC197E"/>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PHPDOCX">
    <w:name w:val="Colorful Shading Accent 6 PHPDOCX"/>
    <w:uiPriority w:val="71"/>
    <w:rsid w:val="00AC197E"/>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PHPDOCX">
    <w:name w:val="Colorful List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PHPDOCX">
    <w:name w:val="Colorful List Accent 1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PHPDOCX">
    <w:name w:val="Colorful List Accent 2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PHPDOCX">
    <w:name w:val="Colorful List Accent 3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PHPDOCX">
    <w:name w:val="Colorful List Accent 4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PHPDOCX">
    <w:name w:val="Colorful List Accent 5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PHPDOCX">
    <w:name w:val="Colorful List Accent 6 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PHPDOCX">
    <w:name w:val="Colorful Grid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PHPDOCX">
    <w:name w:val="Colorful Grid Accent 1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PHPDOCX">
    <w:name w:val="Colorful Grid Accent 2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PHPDOCX">
    <w:name w:val="Colorful Grid Accent 3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PHPDOCX">
    <w:name w:val="Colorful Grid Accent 4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PHPDOCX">
    <w:name w:val="Colorful Grid Accent 5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PHPDOCX">
    <w:name w:val="Colorful Grid Accent 6 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comments.xml.rels><?xml version="1.0" encoding="UTF-8" standalone="yes"?>
<Relationships xmlns="http://schemas.openxmlformats.org/package/2006/relationships"></Relationship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 Id="rId10" Type="http://schemas.openxmlformats.org/officeDocument/2006/relationships/comments" Target="comments.xml"/>
</Relationships>

</file>

<file path=word/_rels/endnotes.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307</Words>
  <Characters>1690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PHPDocX</cp:lastModifiedBy>
  <cp:revision>6</cp:revision>
  <dcterms:created xsi:type="dcterms:W3CDTF">2012-01-10T09:29:00Z</dcterms:created>
  <dcterms:modified xsi:type="dcterms:W3CDTF">2012-02-06T10:43:00Z</dcterms:modified>
</cp:coreProperties>
</file>